
<file path=[Content_Types].xml><?xml version="1.0" encoding="utf-8"?>
<Types xmlns="http://schemas.openxmlformats.org/package/2006/content-types">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14B1F1F" w14:textId="3E9594C6" w:rsidR="008448E9" w:rsidRDefault="00F56341" w:rsidP="00B35EBF">
      <w:pPr>
        <w:pStyle w:val="Title"/>
        <w:jc w:val="center"/>
        <w:rPr>
          <w:sz w:val="36"/>
          <w:szCs w:val="36"/>
        </w:rPr>
      </w:pPr>
      <w:r>
        <w:rPr>
          <w:sz w:val="36"/>
          <w:szCs w:val="36"/>
        </w:rPr>
        <w:t>Developing Capacity for Leading Change:  Faculty Development Academy</w:t>
      </w:r>
    </w:p>
    <w:p w14:paraId="67258135" w14:textId="2F55189E" w:rsidR="00F56341" w:rsidRPr="00F56341" w:rsidRDefault="00F56341" w:rsidP="00F56341">
      <w:pPr>
        <w:jc w:val="center"/>
      </w:pPr>
      <w:r>
        <w:t>Quality and Safety Leadership</w:t>
      </w:r>
    </w:p>
    <w:p w14:paraId="43524DDB" w14:textId="4D7F94E9" w:rsidR="00F56341" w:rsidRDefault="00450119" w:rsidP="00450119">
      <w:pPr>
        <w:jc w:val="center"/>
      </w:pPr>
      <w:r>
        <w:t>2021</w:t>
      </w:r>
    </w:p>
    <w:p w14:paraId="7DC11105" w14:textId="45EAA96E" w:rsidR="00035A76" w:rsidRDefault="00035A76" w:rsidP="00B35EBF">
      <w:pPr>
        <w:rPr>
          <w:b/>
          <w:bCs/>
        </w:rPr>
      </w:pPr>
    </w:p>
    <w:p w14:paraId="5672B8B3" w14:textId="0A249FC5" w:rsidR="00B71F2C" w:rsidRDefault="00B71F2C" w:rsidP="00B35EBF">
      <w:pPr>
        <w:rPr>
          <w:b/>
          <w:bCs/>
        </w:rPr>
      </w:pPr>
    </w:p>
    <w:p w14:paraId="3A11FBE5" w14:textId="5EF943ED" w:rsidR="00B71F2C" w:rsidRDefault="00B71F2C" w:rsidP="00B35EBF">
      <w:pPr>
        <w:rPr>
          <w:b/>
          <w:bCs/>
        </w:rPr>
      </w:pPr>
    </w:p>
    <w:p w14:paraId="1BAFBCBB" w14:textId="74D04169" w:rsidR="00B71F2C" w:rsidRDefault="00B71F2C" w:rsidP="00B71F2C">
      <w:pPr>
        <w:jc w:val="center"/>
        <w:rPr>
          <w:b/>
          <w:bCs/>
        </w:rPr>
      </w:pPr>
      <w:r>
        <w:rPr>
          <w:b/>
          <w:bCs/>
        </w:rPr>
        <w:t>Background</w:t>
      </w:r>
    </w:p>
    <w:p w14:paraId="746A4C75" w14:textId="2D041353" w:rsidR="00B71F2C" w:rsidRDefault="00B71F2C" w:rsidP="00B71F2C">
      <w:pPr>
        <w:jc w:val="center"/>
        <w:rPr>
          <w:b/>
          <w:bCs/>
        </w:rPr>
      </w:pPr>
    </w:p>
    <w:p w14:paraId="10662382" w14:textId="5C03A86D" w:rsidR="00B71F2C" w:rsidRDefault="00B71F2C" w:rsidP="00B71F2C">
      <w:r>
        <w:t>University of Maryland Medical Center and the associated School of Medicine is a</w:t>
      </w:r>
      <w:r w:rsidR="00E17BB8">
        <w:t xml:space="preserve"> 789-bed,</w:t>
      </w:r>
      <w:r>
        <w:t xml:space="preserve"> academic medical center located in Baltimore, Maryland.  </w:t>
      </w:r>
      <w:r w:rsidR="00E17BB8">
        <w:t xml:space="preserve">The Medical Center is the flagship hospital within the University of Maryland Medical System- a thirteen hospital health system.  </w:t>
      </w:r>
      <w:r>
        <w:t>The Chief Quality Officer and Associate Chief Medical Officer invited SixSEED Partners to facilitate a presentation in their</w:t>
      </w:r>
      <w:r w:rsidR="008D7B2C">
        <w:t xml:space="preserve"> first</w:t>
      </w:r>
      <w:r>
        <w:t xml:space="preserve"> Faculty Development Leadership Academy</w:t>
      </w:r>
      <w:r w:rsidR="008D7B2C">
        <w:t>.  The purpose of the Leadership Academy was to prepare internal medicine physicians to lead Safety and Quality Improvement Projects within the organization.</w:t>
      </w:r>
      <w:r w:rsidR="00F06504">
        <w:t xml:space="preserve"> This was a pilot program which, if went well, would be expanded to other physicians within the medical system.</w:t>
      </w:r>
    </w:p>
    <w:p w14:paraId="136140A8" w14:textId="14FA2575" w:rsidR="00C24E62" w:rsidRDefault="00C24E62" w:rsidP="00B71F2C"/>
    <w:p w14:paraId="5B7BA45D" w14:textId="6A8C13F2" w:rsidR="00C24E62" w:rsidRDefault="00C24E62" w:rsidP="00C24E62">
      <w:pPr>
        <w:jc w:val="center"/>
        <w:rPr>
          <w:b/>
          <w:bCs/>
        </w:rPr>
      </w:pPr>
      <w:r w:rsidRPr="00C24E62">
        <w:rPr>
          <w:b/>
          <w:bCs/>
        </w:rPr>
        <w:t>Client Results</w:t>
      </w:r>
    </w:p>
    <w:p w14:paraId="1AE60BCD" w14:textId="065F65A2" w:rsidR="00C24E62" w:rsidRDefault="00C24E62" w:rsidP="00C24E62">
      <w:pPr>
        <w:jc w:val="center"/>
        <w:rPr>
          <w:b/>
          <w:bCs/>
        </w:rPr>
      </w:pPr>
    </w:p>
    <w:p w14:paraId="14CAA722" w14:textId="1A96168C" w:rsidR="00C24E62" w:rsidRPr="00030998" w:rsidRDefault="00C24E62" w:rsidP="00C24E62">
      <w:pPr>
        <w:rPr>
          <w:b/>
          <w:bCs/>
          <w:color w:val="000000" w:themeColor="text1"/>
        </w:rPr>
      </w:pPr>
      <w:r w:rsidRPr="00030998">
        <w:rPr>
          <w:b/>
          <w:bCs/>
          <w:color w:val="000000" w:themeColor="text1"/>
        </w:rPr>
        <w:t>The Strategy:</w:t>
      </w:r>
    </w:p>
    <w:p w14:paraId="0AEBBBB3" w14:textId="75268925" w:rsidR="00C24E62" w:rsidRDefault="00C24E62" w:rsidP="00C24E62"/>
    <w:p w14:paraId="62683538" w14:textId="5B165982" w:rsidR="00C24E62" w:rsidRDefault="00C24E62" w:rsidP="00C24E62">
      <w:r>
        <w:t xml:space="preserve">Joy Goldman RN, MS, PCC: CEO for SixSEED Partners (SSP) worked with The Chief Quality Officer (CQO) to design a two-part series focused on leading change within organizations.  Since internal system resources were focusing on traditional quality improvement and project management principles, SSP decided to focus on providing a framework to help the participants expand their thinking capacity to better lead through volatile, complex, uncertain and ambiguous situations.  If the clinicians could add the capacity to consider </w:t>
      </w:r>
      <w:r w:rsidR="00ED7F69">
        <w:t>both/and perspectives in addition to traditional problem-solving, then that thinking capacity would enable them to better collaborate with those of differing viewpoints (engage stakeholders) and create sustainable change that was less focused on memorizing algorithms for change.</w:t>
      </w:r>
      <w:r w:rsidR="00FB3D54">
        <w:t xml:space="preserve">  We also wanted to create a sense of community through integrating new knowledge with relevant peer conversations that solicited and validated their experiences and emotions</w:t>
      </w:r>
    </w:p>
    <w:p w14:paraId="77A725FB" w14:textId="626902D8" w:rsidR="00C24E62" w:rsidRDefault="00C24E62" w:rsidP="00C24E62"/>
    <w:p w14:paraId="04F92F27" w14:textId="1023CCBF" w:rsidR="00A374FE" w:rsidRPr="00471164" w:rsidRDefault="00C24E62" w:rsidP="00C24E62">
      <w:pPr>
        <w:rPr>
          <w:b/>
          <w:bCs/>
        </w:rPr>
      </w:pPr>
      <w:r w:rsidRPr="00030998">
        <w:rPr>
          <w:b/>
          <w:bCs/>
        </w:rPr>
        <w:t>The Solution:</w:t>
      </w:r>
    </w:p>
    <w:p w14:paraId="0BA1701A" w14:textId="77777777" w:rsidR="00017F80" w:rsidRDefault="00017F80" w:rsidP="00C24E62"/>
    <w:p w14:paraId="7DBC145D" w14:textId="26F12191" w:rsidR="00030998" w:rsidRPr="00A374FE" w:rsidRDefault="00A374FE" w:rsidP="00C24E62">
      <w:r>
        <w:t xml:space="preserve">After speaking with the CQO, SSP designed a polarity assessment that focused on Individual, Team and System tensions.  </w:t>
      </w:r>
      <w:r w:rsidR="00017F80">
        <w:t>The polarities measured included:</w:t>
      </w:r>
    </w:p>
    <w:p w14:paraId="5588F255" w14:textId="01C57748" w:rsidR="00C24E62" w:rsidRDefault="00C24E62" w:rsidP="00C24E62"/>
    <w:p w14:paraId="0F7DB4D0" w14:textId="2263DF70" w:rsidR="00C24E62" w:rsidRDefault="00017F80" w:rsidP="00017F80">
      <w:pPr>
        <w:pStyle w:val="ListParagraph"/>
        <w:numPr>
          <w:ilvl w:val="0"/>
          <w:numId w:val="17"/>
        </w:numPr>
      </w:pPr>
      <w:r>
        <w:t>Candor and Diplomacy (Individual)</w:t>
      </w:r>
    </w:p>
    <w:p w14:paraId="6C7F98A3" w14:textId="43994CDB" w:rsidR="00017F80" w:rsidRDefault="00017F80" w:rsidP="00017F80">
      <w:pPr>
        <w:pStyle w:val="ListParagraph"/>
        <w:numPr>
          <w:ilvl w:val="0"/>
          <w:numId w:val="17"/>
        </w:numPr>
      </w:pPr>
      <w:r>
        <w:t>Individual and Team (Team)</w:t>
      </w:r>
    </w:p>
    <w:p w14:paraId="6B264C31" w14:textId="01433EE0" w:rsidR="00017F80" w:rsidRDefault="00017F80" w:rsidP="00017F80">
      <w:pPr>
        <w:pStyle w:val="ListParagraph"/>
        <w:numPr>
          <w:ilvl w:val="0"/>
          <w:numId w:val="17"/>
        </w:numPr>
      </w:pPr>
      <w:r>
        <w:t>Mission and Margin (System)</w:t>
      </w:r>
    </w:p>
    <w:p w14:paraId="0BCFBEDE" w14:textId="11502A11" w:rsidR="00017F80" w:rsidRDefault="00017F80" w:rsidP="00017F80"/>
    <w:p w14:paraId="4B6A8D6A" w14:textId="32F5175F" w:rsidR="00017F80" w:rsidRDefault="00017F80" w:rsidP="00017F80">
      <w:r>
        <w:lastRenderedPageBreak/>
        <w:t>Due to Covid-19 and pandemic restrictions, the workshop was delivered virtually.  SSP conducted an initial four-hour workshop where the participants were introduced to the polarity framework and were given their results for the polarity assessment.  The eighteen physicians, while coming from the same department, had not had much prior interaction.  They were invited to participate in break out groups where they were able to share insights and personal experiences related to the identified tensions.</w:t>
      </w:r>
    </w:p>
    <w:p w14:paraId="7F8E6462" w14:textId="14AE11BE" w:rsidR="00017F80" w:rsidRDefault="00017F80" w:rsidP="00017F80"/>
    <w:p w14:paraId="74EB6F86" w14:textId="0C400C48" w:rsidR="00017F80" w:rsidRDefault="00017F80" w:rsidP="00017F80">
      <w:r>
        <w:t xml:space="preserve">Toward the end of the six-month curriculum, SSP conducted a one-hour follow-up session to reinforce polarity concepts </w:t>
      </w:r>
      <w:r w:rsidR="00471164">
        <w:t>and to i</w:t>
      </w:r>
      <w:r w:rsidR="00916192">
        <w:t>ntroduc</w:t>
      </w:r>
      <w:r w:rsidR="00471164">
        <w:t>e</w:t>
      </w:r>
      <w:r w:rsidR="00916192">
        <w:t xml:space="preserve"> The Empowerment Dynamic™ by David Emerald to help the participants discern when they were coming from a victim-persecutor-rescuer (DDT- Dreaded Drama Triangle) perspective as compared with the creator-challenger- coach roles within the Empowerment Dynamic.</w:t>
      </w:r>
    </w:p>
    <w:p w14:paraId="48A7026D" w14:textId="77777777" w:rsidR="00017F80" w:rsidRDefault="00017F80" w:rsidP="00C24E62"/>
    <w:p w14:paraId="215487F4" w14:textId="77777777" w:rsidR="00017F80" w:rsidRDefault="00017F80" w:rsidP="00C24E62"/>
    <w:p w14:paraId="43B11CA6" w14:textId="367C014F" w:rsidR="00C24E62" w:rsidRDefault="00C24E62" w:rsidP="00C24E62">
      <w:pPr>
        <w:rPr>
          <w:b/>
          <w:bCs/>
        </w:rPr>
      </w:pPr>
      <w:r w:rsidRPr="00017F80">
        <w:rPr>
          <w:b/>
          <w:bCs/>
        </w:rPr>
        <w:t>The Impact:</w:t>
      </w:r>
    </w:p>
    <w:p w14:paraId="4E4AF9D5" w14:textId="2D5F3AD2" w:rsidR="00A64482" w:rsidRDefault="00A64482" w:rsidP="00C24E62">
      <w:pPr>
        <w:rPr>
          <w:b/>
          <w:bCs/>
        </w:rPr>
      </w:pPr>
    </w:p>
    <w:p w14:paraId="396046FB" w14:textId="203D0F8A" w:rsidR="00A64482" w:rsidRPr="00A64482" w:rsidRDefault="00A64482" w:rsidP="00C24E62">
      <w:r>
        <w:t>Initial outcomes included:</w:t>
      </w:r>
    </w:p>
    <w:p w14:paraId="4709D1F1" w14:textId="5EC7D960" w:rsidR="00B71F2C" w:rsidRDefault="00B71F2C" w:rsidP="00B35EBF">
      <w:pPr>
        <w:rPr>
          <w:b/>
          <w:bCs/>
        </w:rPr>
      </w:pPr>
    </w:p>
    <w:tbl>
      <w:tblPr>
        <w:tblStyle w:val="TableGrid"/>
        <w:tblW w:w="10885" w:type="dxa"/>
        <w:tblInd w:w="-270" w:type="dxa"/>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10885"/>
      </w:tblGrid>
      <w:tr w:rsidR="00A64482" w14:paraId="2EE3BCA6" w14:textId="77777777" w:rsidTr="009070D8">
        <w:tc>
          <w:tcPr>
            <w:tcW w:w="8370" w:type="dxa"/>
          </w:tcPr>
          <w:p w14:paraId="6612018B" w14:textId="77777777" w:rsidR="00A64482" w:rsidRDefault="00A64482" w:rsidP="009070D8">
            <w:pPr>
              <w:pStyle w:val="ListParagraph"/>
              <w:numPr>
                <w:ilvl w:val="0"/>
                <w:numId w:val="15"/>
              </w:numPr>
            </w:pPr>
            <w:r>
              <w:t>Application of both/and- polarity thinking to strategic and systemic change projects</w:t>
            </w:r>
          </w:p>
          <w:p w14:paraId="63BEEF00" w14:textId="6A8B17A4" w:rsidR="00A64482" w:rsidRDefault="00A64482" w:rsidP="009070D8">
            <w:pPr>
              <w:pStyle w:val="ListParagraph"/>
              <w:numPr>
                <w:ilvl w:val="0"/>
                <w:numId w:val="15"/>
              </w:numPr>
            </w:pPr>
            <w:r>
              <w:t>In this very diverse faculty group, verbalized awareness of cultural impact on use of voice in an effort to “fit in.”  Many in the group stated their realization of their habit of deference (diplomacy) to the neglect of exercising the healthy expression of candor</w:t>
            </w:r>
          </w:p>
        </w:tc>
      </w:tr>
      <w:tr w:rsidR="00A64482" w14:paraId="27B06E16" w14:textId="77777777" w:rsidTr="009070D8">
        <w:tc>
          <w:tcPr>
            <w:tcW w:w="8370" w:type="dxa"/>
          </w:tcPr>
          <w:p w14:paraId="71C90A7D" w14:textId="77777777" w:rsidR="00A64482" w:rsidRPr="005877D6" w:rsidRDefault="00A64482" w:rsidP="009070D8">
            <w:pPr>
              <w:pStyle w:val="ListParagraph"/>
              <w:numPr>
                <w:ilvl w:val="0"/>
                <w:numId w:val="13"/>
              </w:numPr>
              <w:rPr>
                <w:rFonts w:ascii="Times New Roman" w:eastAsia="Times New Roman" w:hAnsi="Times New Roman" w:cs="Times New Roman"/>
              </w:rPr>
            </w:pPr>
            <w:r>
              <w:t>“This was a really well conducted session and was high-yield. Thought ** was really wonderful as a moderator and drew out the audience. Enjoyed the small groups.”</w:t>
            </w:r>
          </w:p>
          <w:p w14:paraId="48A4439D" w14:textId="77777777" w:rsidR="00A64482" w:rsidRPr="005877D6" w:rsidRDefault="00A64482" w:rsidP="009070D8">
            <w:pPr>
              <w:pStyle w:val="ListParagraph"/>
              <w:numPr>
                <w:ilvl w:val="0"/>
                <w:numId w:val="13"/>
              </w:numPr>
              <w:rPr>
                <w:rFonts w:ascii="Times New Roman" w:eastAsia="Times New Roman" w:hAnsi="Times New Roman" w:cs="Times New Roman"/>
              </w:rPr>
            </w:pPr>
            <w:r>
              <w:t>“Enjoyed the opportunity to interact more closely with other participants in the Academy.”</w:t>
            </w:r>
          </w:p>
          <w:p w14:paraId="09693C23" w14:textId="77777777" w:rsidR="00A64482" w:rsidRDefault="00A64482" w:rsidP="009070D8">
            <w:pPr>
              <w:pStyle w:val="ListParagraph"/>
              <w:numPr>
                <w:ilvl w:val="0"/>
                <w:numId w:val="12"/>
              </w:numPr>
            </w:pPr>
            <w:r>
              <w:t xml:space="preserve">“We never have this time to share our experiences with each other and realize we are not alone in our struggles.  Appreciated the opportunity to use each other as consultants and advisors.” </w:t>
            </w:r>
          </w:p>
          <w:p w14:paraId="2ED3C208" w14:textId="77777777" w:rsidR="00BA49FB" w:rsidRDefault="00BA49FB" w:rsidP="00BA49FB"/>
          <w:p w14:paraId="60C2AE95" w14:textId="29EF1E9D" w:rsidR="00BA49FB" w:rsidRDefault="00BA49FB" w:rsidP="00BA49FB">
            <w:r>
              <w:t>A post-polarity assessment will be administered after their change projects are complete which is expected to be fall, 2021.</w:t>
            </w:r>
          </w:p>
        </w:tc>
      </w:tr>
    </w:tbl>
    <w:p w14:paraId="33EB1503" w14:textId="5C91E576" w:rsidR="00B71F2C" w:rsidRDefault="00B71F2C" w:rsidP="00B35EBF">
      <w:pPr>
        <w:rPr>
          <w:b/>
          <w:bCs/>
        </w:rPr>
      </w:pPr>
    </w:p>
    <w:p w14:paraId="641CC3BF" w14:textId="3E8E5519" w:rsidR="00B71F2C" w:rsidRDefault="00B71F2C" w:rsidP="00B35EBF">
      <w:pPr>
        <w:rPr>
          <w:b/>
          <w:bCs/>
        </w:rPr>
      </w:pPr>
    </w:p>
    <w:p w14:paraId="6C352A4D" w14:textId="4EA4B83E" w:rsidR="00B71F2C" w:rsidRDefault="00B71F2C" w:rsidP="00B35EBF">
      <w:pPr>
        <w:rPr>
          <w:b/>
          <w:bCs/>
        </w:rPr>
      </w:pPr>
    </w:p>
    <w:p w14:paraId="203D0E7F" w14:textId="6161EE29" w:rsidR="00B71F2C" w:rsidRDefault="00B71F2C" w:rsidP="00B35EBF">
      <w:pPr>
        <w:rPr>
          <w:b/>
          <w:bCs/>
        </w:rPr>
      </w:pPr>
    </w:p>
    <w:p w14:paraId="04FA7470" w14:textId="1751A27D" w:rsidR="00B71F2C" w:rsidRDefault="00B71F2C" w:rsidP="00B35EBF">
      <w:pPr>
        <w:rPr>
          <w:b/>
          <w:bCs/>
        </w:rPr>
      </w:pPr>
    </w:p>
    <w:p w14:paraId="31D358EC" w14:textId="14072277" w:rsidR="00B71F2C" w:rsidRDefault="00B71F2C" w:rsidP="00B35EBF">
      <w:pPr>
        <w:rPr>
          <w:b/>
          <w:bCs/>
        </w:rPr>
      </w:pPr>
    </w:p>
    <w:p w14:paraId="70C1E2B4" w14:textId="59230B6D" w:rsidR="00B71F2C" w:rsidRDefault="00B71F2C" w:rsidP="00B35EBF">
      <w:pPr>
        <w:rPr>
          <w:b/>
          <w:bCs/>
        </w:rPr>
      </w:pPr>
    </w:p>
    <w:p w14:paraId="307A2E23" w14:textId="5A48D0E0" w:rsidR="00B71F2C" w:rsidRDefault="00B71F2C" w:rsidP="00B35EBF">
      <w:pPr>
        <w:rPr>
          <w:b/>
          <w:bCs/>
        </w:rPr>
      </w:pPr>
    </w:p>
    <w:p w14:paraId="36820B40" w14:textId="35F662FA" w:rsidR="00B71F2C" w:rsidRDefault="00B71F2C" w:rsidP="00B35EBF">
      <w:pPr>
        <w:rPr>
          <w:b/>
          <w:bCs/>
        </w:rPr>
      </w:pPr>
    </w:p>
    <w:p w14:paraId="483FEAA9" w14:textId="571A2711" w:rsidR="00B71F2C" w:rsidRDefault="00B71F2C" w:rsidP="00B35EBF">
      <w:pPr>
        <w:rPr>
          <w:b/>
          <w:bCs/>
        </w:rPr>
      </w:pPr>
    </w:p>
    <w:p w14:paraId="21599091" w14:textId="040BD8E8" w:rsidR="00B71F2C" w:rsidRDefault="00B71F2C" w:rsidP="00B35EBF">
      <w:pPr>
        <w:rPr>
          <w:b/>
          <w:bCs/>
        </w:rPr>
      </w:pPr>
    </w:p>
    <w:p w14:paraId="07AD9007" w14:textId="77777777" w:rsidR="008049D9" w:rsidRDefault="008049D9" w:rsidP="00B35EBF">
      <w:pPr>
        <w:rPr>
          <w:b/>
          <w:bCs/>
        </w:rPr>
      </w:pPr>
    </w:p>
    <w:sectPr w:rsidR="008049D9" w:rsidSect="00F700E9">
      <w:headerReference w:type="default" r:id="rId8"/>
      <w:footerReference w:type="default" r:id="rId9"/>
      <w:pgSz w:w="12240" w:h="15840"/>
      <w:pgMar w:top="1440" w:right="1170" w:bottom="1440" w:left="1080" w:header="450" w:footer="18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BFC432E" w14:textId="77777777" w:rsidR="00EE33A0" w:rsidRDefault="00EE33A0" w:rsidP="000F1106">
      <w:r>
        <w:separator/>
      </w:r>
    </w:p>
  </w:endnote>
  <w:endnote w:type="continuationSeparator" w:id="0">
    <w:p w14:paraId="0E60A991" w14:textId="77777777" w:rsidR="00EE33A0" w:rsidRDefault="00EE33A0" w:rsidP="000F110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Quicksand">
    <w:altName w:val="Calibri"/>
    <w:panose1 w:val="020B0604020202020204"/>
    <w:charset w:val="00"/>
    <w:family w:val="auto"/>
    <w:pitch w:val="default"/>
  </w:font>
  <w:font w:name="Calibri Light">
    <w:panose1 w:val="020F0302020204030204"/>
    <w:charset w:val="00"/>
    <w:family w:val="swiss"/>
    <w:pitch w:val="variable"/>
    <w:sig w:usb0="E4002EFF" w:usb1="C000247B" w:usb2="00000009" w:usb3="00000000" w:csb0="000001FF" w:csb1="00000000"/>
  </w:font>
  <w:font w:name="Avenir Next LT Pro">
    <w:panose1 w:val="020B0504020202020204"/>
    <w:charset w:val="00"/>
    <w:family w:val="swiss"/>
    <w:pitch w:val="variable"/>
    <w:sig w:usb0="800000EF" w:usb1="5000204A"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9F5806" w14:textId="6537F405" w:rsidR="00B637A3" w:rsidRDefault="00B637A3">
    <w:pPr>
      <w:pStyle w:val="Footer"/>
    </w:pPr>
    <w:r w:rsidRPr="00B637A3">
      <w:rPr>
        <w:noProof/>
      </w:rPr>
      <mc:AlternateContent>
        <mc:Choice Requires="wps">
          <w:drawing>
            <wp:anchor distT="0" distB="0" distL="114300" distR="114300" simplePos="0" relativeHeight="251660288" behindDoc="0" locked="0" layoutInCell="1" allowOverlap="1" wp14:anchorId="4C16C4B5" wp14:editId="66CDB6FA">
              <wp:simplePos x="0" y="0"/>
              <wp:positionH relativeFrom="column">
                <wp:posOffset>-671830</wp:posOffset>
              </wp:positionH>
              <wp:positionV relativeFrom="paragraph">
                <wp:posOffset>144780</wp:posOffset>
              </wp:positionV>
              <wp:extent cx="7762875" cy="320040"/>
              <wp:effectExtent l="0" t="0" r="9525" b="3810"/>
              <wp:wrapNone/>
              <wp:docPr id="24" name="Rectangle 24"/>
              <wp:cNvGraphicFramePr/>
              <a:graphic xmlns:a="http://schemas.openxmlformats.org/drawingml/2006/main">
                <a:graphicData uri="http://schemas.microsoft.com/office/word/2010/wordprocessingShape">
                  <wps:wsp>
                    <wps:cNvSpPr/>
                    <wps:spPr>
                      <a:xfrm>
                        <a:off x="0" y="0"/>
                        <a:ext cx="7762875" cy="320040"/>
                      </a:xfrm>
                      <a:prstGeom prst="rect">
                        <a:avLst/>
                      </a:prstGeom>
                      <a:gradFill flip="none" rotWithShape="1">
                        <a:gsLst>
                          <a:gs pos="0">
                            <a:srgbClr val="096490">
                              <a:alpha val="84000"/>
                            </a:srgbClr>
                          </a:gs>
                          <a:gs pos="59000">
                            <a:srgbClr val="2A837C">
                              <a:alpha val="90000"/>
                            </a:srgbClr>
                          </a:gs>
                          <a:gs pos="100000">
                            <a:srgbClr val="098848">
                              <a:alpha val="69000"/>
                            </a:srgbClr>
                          </a:gs>
                        </a:gsLst>
                        <a:path path="circle">
                          <a:fillToRect l="100000" t="100000"/>
                        </a:path>
                        <a:tileRect r="-100000" b="-100000"/>
                      </a:gradFill>
                      <a:ln>
                        <a:noFill/>
                      </a:ln>
                    </wps:spPr>
                    <wps:style>
                      <a:lnRef idx="1">
                        <a:schemeClr val="accent1"/>
                      </a:lnRef>
                      <a:fillRef idx="3">
                        <a:schemeClr val="accent1"/>
                      </a:fillRef>
                      <a:effectRef idx="2">
                        <a:schemeClr val="accent1"/>
                      </a:effectRef>
                      <a:fontRef idx="minor">
                        <a:schemeClr val="lt1"/>
                      </a:fontRef>
                    </wps:style>
                    <wps:txbx>
                      <w:txbxContent>
                        <w:p w14:paraId="37440AFF" w14:textId="77777777" w:rsidR="00B637A3" w:rsidRDefault="00B637A3" w:rsidP="00B637A3">
                          <w:pPr>
                            <w:tabs>
                              <w:tab w:val="center" w:pos="4680"/>
                              <w:tab w:val="right" w:pos="9360"/>
                              <w:tab w:val="right" w:pos="10800"/>
                            </w:tabs>
                          </w:pPr>
                          <w:r>
                            <w:rPr>
                              <w:color w:val="FFFFFF" w:themeColor="background1"/>
                              <w:kern w:val="24"/>
                            </w:rPr>
                            <w:t> </w:t>
                          </w:r>
                        </w:p>
                      </w:txbxContent>
                    </wps:txbx>
                    <wps:bodyPr rot="0" spcFirstLastPara="0" vert="horz" wrap="square" lIns="91440" tIns="45720" rIns="91440" bIns="45720" numCol="1" spcCol="0" rtlCol="0" fromWordArt="0" anchor="b" anchorCtr="0" forceAA="0" compatLnSpc="1">
                      <a:prstTxWarp prst="textNoShape">
                        <a:avLst/>
                      </a:prstTxWarp>
                      <a:noAutofit/>
                    </wps:bodyPr>
                  </wps:wsp>
                </a:graphicData>
              </a:graphic>
            </wp:anchor>
          </w:drawing>
        </mc:Choice>
        <mc:Fallback>
          <w:pict>
            <v:rect w14:anchorId="4C16C4B5" id="Rectangle 24" o:spid="_x0000_s1026" style="position:absolute;margin-left:-52.9pt;margin-top:11.4pt;width:611.25pt;height:25.2pt;z-index:251660288;visibility:visible;mso-wrap-style:square;mso-wrap-distance-left:9pt;mso-wrap-distance-top:0;mso-wrap-distance-right:9pt;mso-wrap-distance-bottom:0;mso-position-horizontal:absolute;mso-position-horizontal-relative:text;mso-position-vertical:absolute;mso-position-vertical-relative:text;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" fillcolor="#096490" stroked="f" strokeweight=".5pt">
              <v:fill opacity="45219f" color2="#098848" o:opacity2="55050f" rotate="t" focusposition="1,1" focussize="" colors="0 #096490;38666f #2a837c;1 #098848" focus="100%" type="gradientRadial"/>
              <v:textbox>
                <w:txbxContent>
                  <w:p w14:paraId="37440AFF" w14:textId="77777777" w:rsidR="00B637A3" w:rsidRDefault="00B637A3" w:rsidP="00B637A3">
                    <w:pPr>
                      <w:tabs>
                        <w:tab w:val="center" w:pos="4680"/>
                        <w:tab w:val="right" w:pos="9360"/>
                        <w:tab w:val="right" w:pos="10800"/>
                      </w:tabs>
                    </w:pPr>
                    <w:r>
                      <w:rPr>
                        <w:color w:val="FFFFFF" w:themeColor="background1"/>
                        <w:kern w:val="24"/>
                      </w:rPr>
                      <w:t> </w:t>
                    </w:r>
                  </w:p>
                </w:txbxContent>
              </v:textbox>
            </v:rect>
          </w:pict>
        </mc:Fallback>
      </mc:AlternateContent>
    </w:r>
    <w:r w:rsidRPr="00B637A3">
      <w:rPr>
        <w:noProof/>
      </w:rPr>
      <mc:AlternateContent>
        <mc:Choice Requires="wps">
          <w:drawing>
            <wp:anchor distT="0" distB="0" distL="114300" distR="114300" simplePos="0" relativeHeight="251661312" behindDoc="0" locked="0" layoutInCell="1" allowOverlap="1" wp14:anchorId="2EA083FF" wp14:editId="2C021433">
              <wp:simplePos x="0" y="0"/>
              <wp:positionH relativeFrom="column">
                <wp:posOffset>-230505</wp:posOffset>
              </wp:positionH>
              <wp:positionV relativeFrom="paragraph">
                <wp:posOffset>196215</wp:posOffset>
              </wp:positionV>
              <wp:extent cx="1026160" cy="253365"/>
              <wp:effectExtent l="0" t="0" r="0" b="0"/>
              <wp:wrapNone/>
              <wp:docPr id="25" name="TextBox 4"/>
              <wp:cNvGraphicFramePr/>
              <a:graphic xmlns:a="http://schemas.openxmlformats.org/drawingml/2006/main">
                <a:graphicData uri="http://schemas.microsoft.com/office/word/2010/wordprocessingShape">
                  <wps:wsp>
                    <wps:cNvSpPr txBox="1"/>
                    <wps:spPr>
                      <a:xfrm>
                        <a:off x="0" y="0"/>
                        <a:ext cx="1026160" cy="253365"/>
                      </a:xfrm>
                      <a:prstGeom prst="rect">
                        <a:avLst/>
                      </a:prstGeom>
                      <a:noFill/>
                    </wps:spPr>
                    <wps:txbx>
                      <w:txbxContent>
                        <w:p w14:paraId="2594F29C" w14:textId="77777777" w:rsidR="00B637A3" w:rsidRDefault="00B637A3" w:rsidP="00B637A3">
                          <w:r>
                            <w:rPr>
                              <w:rFonts w:ascii="Avenir Next LT Pro" w:hAnsi="Avenir Next LT Pro" w:cstheme="minorBidi"/>
                              <w:color w:val="FFFFFF" w:themeColor="background1"/>
                              <w:kern w:val="24"/>
                              <w:sz w:val="21"/>
                              <w:szCs w:val="21"/>
                            </w:rPr>
                            <w:t>443.379.4569</w:t>
                          </w:r>
                        </w:p>
                      </w:txbxContent>
                    </wps:txbx>
                    <wps:bodyPr wrap="none" rtlCol="0">
                      <a:spAutoFit/>
                    </wps:bodyPr>
                  </wps:wsp>
                </a:graphicData>
              </a:graphic>
            </wp:anchor>
          </w:drawing>
        </mc:Choice>
        <mc:Fallback>
          <w:pict>
            <v:shapetype w14:anchorId="2EA083FF" id="_x0000_t202" coordsize="21600,21600" o:spt="202" path="m,l,21600r21600,l21600,xe">
              <v:stroke joinstyle="miter"/>
              <v:path gradientshapeok="t" o:connecttype="rect"/>
            </v:shapetype>
            <v:shape id="TextBox 4" o:spid="_x0000_s1027" type="#_x0000_t202" style="position:absolute;margin-left:-18.15pt;margin-top:15.45pt;width:80.8pt;height:19.95pt;z-index:2516613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" filled="f" stroked="f">
              <v:textbox style="mso-fit-shape-to-text:t">
                <w:txbxContent>
                  <w:p w14:paraId="2594F29C" w14:textId="77777777" w:rsidR="00B637A3" w:rsidRDefault="00B637A3" w:rsidP="00B637A3">
                    <w:r>
                      <w:rPr>
                        <w:rFonts w:ascii="Avenir Next LT Pro" w:hAnsi="Avenir Next LT Pro" w:cstheme="minorBidi"/>
                        <w:color w:val="FFFFFF" w:themeColor="background1"/>
                        <w:kern w:val="24"/>
                        <w:sz w:val="21"/>
                        <w:szCs w:val="21"/>
                      </w:rPr>
                      <w:t>443.379.4569</w:t>
                    </w:r>
                  </w:p>
                </w:txbxContent>
              </v:textbox>
            </v:shape>
          </w:pict>
        </mc:Fallback>
      </mc:AlternateContent>
    </w:r>
    <w:r w:rsidRPr="00B637A3">
      <w:rPr>
        <w:noProof/>
      </w:rPr>
      <mc:AlternateContent>
        <mc:Choice Requires="wps">
          <w:drawing>
            <wp:anchor distT="0" distB="0" distL="114300" distR="114300" simplePos="0" relativeHeight="251662336" behindDoc="0" locked="0" layoutInCell="1" allowOverlap="1" wp14:anchorId="6AF2032E" wp14:editId="24E2CDE8">
              <wp:simplePos x="0" y="0"/>
              <wp:positionH relativeFrom="column">
                <wp:posOffset>4992428</wp:posOffset>
              </wp:positionH>
              <wp:positionV relativeFrom="paragraph">
                <wp:posOffset>170815</wp:posOffset>
              </wp:positionV>
              <wp:extent cx="1777365" cy="253365"/>
              <wp:effectExtent l="0" t="0" r="0" b="0"/>
              <wp:wrapNone/>
              <wp:docPr id="26" name="TextBox 6"/>
              <wp:cNvGraphicFramePr/>
              <a:graphic xmlns:a="http://schemas.openxmlformats.org/drawingml/2006/main">
                <a:graphicData uri="http://schemas.microsoft.com/office/word/2010/wordprocessingShape">
                  <wps:wsp>
                    <wps:cNvSpPr txBox="1"/>
                    <wps:spPr>
                      <a:xfrm>
                        <a:off x="0" y="0"/>
                        <a:ext cx="1777365" cy="253365"/>
                      </a:xfrm>
                      <a:prstGeom prst="rect">
                        <a:avLst/>
                      </a:prstGeom>
                      <a:noFill/>
                    </wps:spPr>
                    <wps:txbx>
                      <w:txbxContent>
                        <w:p w14:paraId="597CA112" w14:textId="77777777" w:rsidR="00B637A3" w:rsidRDefault="00B637A3" w:rsidP="00B637A3">
                          <w:r>
                            <w:rPr>
                              <w:rFonts w:ascii="Avenir Next LT Pro" w:hAnsi="Avenir Next LT Pro" w:cstheme="minorBidi"/>
                              <w:color w:val="FFFFFF" w:themeColor="background1"/>
                              <w:kern w:val="24"/>
                              <w:sz w:val="21"/>
                              <w:szCs w:val="21"/>
                            </w:rPr>
                            <w:t>www.sixseedpartners.com</w:t>
                          </w:r>
                        </w:p>
                      </w:txbxContent>
                    </wps:txbx>
                    <wps:bodyPr wrap="none" rtlCol="0">
                      <a:spAutoFit/>
                    </wps:bodyPr>
                  </wps:wsp>
                </a:graphicData>
              </a:graphic>
            </wp:anchor>
          </w:drawing>
        </mc:Choice>
        <mc:Fallback>
          <w:pict>
            <v:shape w14:anchorId="6AF2032E" id="TextBox 6" o:spid="_x0000_s1028" type="#_x0000_t202" style="position:absolute;margin-left:393.1pt;margin-top:13.45pt;width:139.95pt;height:19.95pt;z-index:2516623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" filled="f" stroked="f">
              <v:textbox style="mso-fit-shape-to-text:t">
                <w:txbxContent>
                  <w:p w14:paraId="597CA112" w14:textId="77777777" w:rsidR="00B637A3" w:rsidRDefault="00B637A3" w:rsidP="00B637A3">
                    <w:r>
                      <w:rPr>
                        <w:rFonts w:ascii="Avenir Next LT Pro" w:hAnsi="Avenir Next LT Pro" w:cstheme="minorBidi"/>
                        <w:color w:val="FFFFFF" w:themeColor="background1"/>
                        <w:kern w:val="24"/>
                        <w:sz w:val="21"/>
                        <w:szCs w:val="21"/>
                      </w:rPr>
                      <w:t>www.sixseedpartners.com</w:t>
                    </w:r>
                  </w:p>
                </w:txbxContent>
              </v:textbox>
            </v:shape>
          </w:pict>
        </mc:Fallback>
      </mc:AlternateContent>
    </w:r>
  </w:p>
  <w:p w14:paraId="58840045" w14:textId="77777777" w:rsidR="00B637A3" w:rsidRDefault="00B637A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C7D3912" w14:textId="77777777" w:rsidR="00EE33A0" w:rsidRDefault="00EE33A0" w:rsidP="000F1106">
      <w:r>
        <w:separator/>
      </w:r>
    </w:p>
  </w:footnote>
  <w:footnote w:type="continuationSeparator" w:id="0">
    <w:p w14:paraId="25A566C9" w14:textId="77777777" w:rsidR="00EE33A0" w:rsidRDefault="00EE33A0" w:rsidP="000F110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4C41FEB" w14:textId="686B0EBB" w:rsidR="000F1106" w:rsidRPr="0013489F" w:rsidRDefault="00D078C3" w:rsidP="000F1106">
    <w:pPr>
      <w:pStyle w:val="Header"/>
      <w:jc w:val="right"/>
      <w:rPr>
        <w:rFonts w:ascii="Avenir Next LT Pro" w:hAnsi="Avenir Next LT Pro"/>
        <w:sz w:val="21"/>
        <w:szCs w:val="21"/>
      </w:rPr>
    </w:pPr>
    <w:r>
      <w:rPr>
        <w:rFonts w:ascii="Avenir Next LT Pro" w:hAnsi="Avenir Next LT Pro"/>
        <w:noProof/>
        <w:sz w:val="21"/>
        <w:szCs w:val="21"/>
      </w:rPr>
      <w:drawing>
        <wp:anchor distT="0" distB="0" distL="114300" distR="114300" simplePos="0" relativeHeight="251658240" behindDoc="1" locked="0" layoutInCell="1" allowOverlap="1" wp14:anchorId="06244A8D" wp14:editId="17297185">
          <wp:simplePos x="0" y="0"/>
          <wp:positionH relativeFrom="column">
            <wp:posOffset>-401955</wp:posOffset>
          </wp:positionH>
          <wp:positionV relativeFrom="paragraph">
            <wp:posOffset>-258445</wp:posOffset>
          </wp:positionV>
          <wp:extent cx="1969135" cy="891540"/>
          <wp:effectExtent l="0" t="0" r="0" b="3810"/>
          <wp:wrapTight wrapText="bothSides">
            <wp:wrapPolygon edited="0">
              <wp:start x="0" y="0"/>
              <wp:lineTo x="0" y="21231"/>
              <wp:lineTo x="21314" y="21231"/>
              <wp:lineTo x="21314" y="0"/>
              <wp:lineTo x="0" y="0"/>
            </wp:wrapPolygon>
          </wp:wrapTight>
          <wp:docPr id="7" name="Picture 7"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ixSEED_Logo_CMYK (1).tif"/>
                  <pic:cNvPicPr/>
                </pic:nvPicPr>
                <pic:blipFill>
                  <a:blip r:embed="rId1">
                    <a:extLst>
                      <a:ext uri="{28A0092B-C50C-407E-A947-70E740481C1C}">
                        <a14:useLocalDpi xmlns:a14="http://schemas.microsoft.com/office/drawing/2010/main" val="0"/>
                      </a:ext>
                    </a:extLst>
                  </a:blip>
                  <a:stretch>
                    <a:fillRect/>
                  </a:stretch>
                </pic:blipFill>
                <pic:spPr>
                  <a:xfrm>
                    <a:off x="0" y="0"/>
                    <a:ext cx="1969135" cy="891540"/>
                  </a:xfrm>
                  <a:prstGeom prst="rect">
                    <a:avLst/>
                  </a:prstGeom>
                </pic:spPr>
              </pic:pic>
            </a:graphicData>
          </a:graphic>
          <wp14:sizeRelH relativeFrom="margin">
            <wp14:pctWidth>0</wp14:pctWidth>
          </wp14:sizeRelH>
          <wp14:sizeRelV relativeFrom="margin">
            <wp14:pctHeight>0</wp14:pctHeight>
          </wp14:sizeRelV>
        </wp:anchor>
      </w:drawing>
    </w:r>
    <w:r w:rsidR="005923A1" w:rsidRPr="0013489F">
      <w:rPr>
        <w:rFonts w:ascii="Avenir Next LT Pro" w:hAnsi="Avenir Next LT Pro"/>
        <w:sz w:val="21"/>
        <w:szCs w:val="21"/>
      </w:rPr>
      <w:t>14801 Patterson Avenue</w:t>
    </w:r>
  </w:p>
  <w:p w14:paraId="353F872C" w14:textId="60F52D61" w:rsidR="005923A1" w:rsidRPr="0013489F" w:rsidRDefault="005923A1" w:rsidP="000F1106">
    <w:pPr>
      <w:pStyle w:val="Header"/>
      <w:jc w:val="right"/>
      <w:rPr>
        <w:rFonts w:ascii="Avenir Next LT Pro" w:hAnsi="Avenir Next LT Pro"/>
        <w:sz w:val="21"/>
        <w:szCs w:val="21"/>
      </w:rPr>
    </w:pPr>
    <w:r w:rsidRPr="0013489F">
      <w:rPr>
        <w:rFonts w:ascii="Avenir Next LT Pro" w:hAnsi="Avenir Next LT Pro"/>
        <w:sz w:val="21"/>
        <w:szCs w:val="21"/>
      </w:rPr>
      <w:t>Suite C26</w:t>
    </w:r>
  </w:p>
  <w:p w14:paraId="416EA3B6" w14:textId="0500334D" w:rsidR="005923A1" w:rsidRPr="0013489F" w:rsidRDefault="005923A1" w:rsidP="000F1106">
    <w:pPr>
      <w:pStyle w:val="Header"/>
      <w:jc w:val="right"/>
      <w:rPr>
        <w:rFonts w:ascii="Avenir Next LT Pro" w:hAnsi="Avenir Next LT Pro"/>
        <w:sz w:val="21"/>
        <w:szCs w:val="21"/>
      </w:rPr>
    </w:pPr>
    <w:r w:rsidRPr="0013489F">
      <w:rPr>
        <w:rFonts w:ascii="Avenir Next LT Pro" w:hAnsi="Avenir Next LT Pro"/>
        <w:sz w:val="21"/>
        <w:szCs w:val="21"/>
      </w:rPr>
      <w:t>Henrico, VA 23230</w:t>
    </w:r>
  </w:p>
  <w:p w14:paraId="524FA017" w14:textId="4B2F15FB" w:rsidR="000F1106" w:rsidRDefault="000F110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A045C68"/>
    <w:multiLevelType w:val="hybridMultilevel"/>
    <w:tmpl w:val="A148EAC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15:restartNumberingAfterBreak="0">
    <w:nsid w:val="0AF4666D"/>
    <w:multiLevelType w:val="hybridMultilevel"/>
    <w:tmpl w:val="5074F42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B2E2359"/>
    <w:multiLevelType w:val="hybridMultilevel"/>
    <w:tmpl w:val="7DE65EA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177F1555"/>
    <w:multiLevelType w:val="hybridMultilevel"/>
    <w:tmpl w:val="110A0A2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2105720E"/>
    <w:multiLevelType w:val="hybridMultilevel"/>
    <w:tmpl w:val="B4B8A6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28007E4"/>
    <w:multiLevelType w:val="hybridMultilevel"/>
    <w:tmpl w:val="A68CD51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35AE0DDC"/>
    <w:multiLevelType w:val="hybridMultilevel"/>
    <w:tmpl w:val="235E1E64"/>
    <w:lvl w:ilvl="0" w:tplc="BFCA601A">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7" w15:restartNumberingAfterBreak="0">
    <w:nsid w:val="39C57B40"/>
    <w:multiLevelType w:val="hybridMultilevel"/>
    <w:tmpl w:val="17E89E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B3E6C06"/>
    <w:multiLevelType w:val="hybridMultilevel"/>
    <w:tmpl w:val="05C00C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2EF1B39"/>
    <w:multiLevelType w:val="hybridMultilevel"/>
    <w:tmpl w:val="361631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64205D5"/>
    <w:multiLevelType w:val="hybridMultilevel"/>
    <w:tmpl w:val="F6E0AF5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4BB52BB9"/>
    <w:multiLevelType w:val="hybridMultilevel"/>
    <w:tmpl w:val="4ACCF5F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53400E5C"/>
    <w:multiLevelType w:val="hybridMultilevel"/>
    <w:tmpl w:val="2D160D6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5AF3660B"/>
    <w:multiLevelType w:val="hybridMultilevel"/>
    <w:tmpl w:val="F932805E"/>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0F10F91"/>
    <w:multiLevelType w:val="hybridMultilevel"/>
    <w:tmpl w:val="C52818CC"/>
    <w:lvl w:ilvl="0" w:tplc="04090003">
      <w:start w:val="1"/>
      <w:numFmt w:val="bullet"/>
      <w:lvlText w:val="o"/>
      <w:lvlJc w:val="left"/>
      <w:pPr>
        <w:ind w:left="771" w:hanging="360"/>
      </w:pPr>
      <w:rPr>
        <w:rFonts w:ascii="Courier New" w:hAnsi="Courier New" w:cs="Courier New" w:hint="default"/>
      </w:rPr>
    </w:lvl>
    <w:lvl w:ilvl="1" w:tplc="04090003" w:tentative="1">
      <w:start w:val="1"/>
      <w:numFmt w:val="bullet"/>
      <w:lvlText w:val="o"/>
      <w:lvlJc w:val="left"/>
      <w:pPr>
        <w:ind w:left="1491" w:hanging="360"/>
      </w:pPr>
      <w:rPr>
        <w:rFonts w:ascii="Courier New" w:hAnsi="Courier New" w:cs="Courier New" w:hint="default"/>
      </w:rPr>
    </w:lvl>
    <w:lvl w:ilvl="2" w:tplc="04090005" w:tentative="1">
      <w:start w:val="1"/>
      <w:numFmt w:val="bullet"/>
      <w:lvlText w:val=""/>
      <w:lvlJc w:val="left"/>
      <w:pPr>
        <w:ind w:left="2211" w:hanging="360"/>
      </w:pPr>
      <w:rPr>
        <w:rFonts w:ascii="Wingdings" w:hAnsi="Wingdings" w:hint="default"/>
      </w:rPr>
    </w:lvl>
    <w:lvl w:ilvl="3" w:tplc="04090001" w:tentative="1">
      <w:start w:val="1"/>
      <w:numFmt w:val="bullet"/>
      <w:lvlText w:val=""/>
      <w:lvlJc w:val="left"/>
      <w:pPr>
        <w:ind w:left="2931" w:hanging="360"/>
      </w:pPr>
      <w:rPr>
        <w:rFonts w:ascii="Symbol" w:hAnsi="Symbol" w:hint="default"/>
      </w:rPr>
    </w:lvl>
    <w:lvl w:ilvl="4" w:tplc="04090003" w:tentative="1">
      <w:start w:val="1"/>
      <w:numFmt w:val="bullet"/>
      <w:lvlText w:val="o"/>
      <w:lvlJc w:val="left"/>
      <w:pPr>
        <w:ind w:left="3651" w:hanging="360"/>
      </w:pPr>
      <w:rPr>
        <w:rFonts w:ascii="Courier New" w:hAnsi="Courier New" w:cs="Courier New" w:hint="default"/>
      </w:rPr>
    </w:lvl>
    <w:lvl w:ilvl="5" w:tplc="04090005" w:tentative="1">
      <w:start w:val="1"/>
      <w:numFmt w:val="bullet"/>
      <w:lvlText w:val=""/>
      <w:lvlJc w:val="left"/>
      <w:pPr>
        <w:ind w:left="4371" w:hanging="360"/>
      </w:pPr>
      <w:rPr>
        <w:rFonts w:ascii="Wingdings" w:hAnsi="Wingdings" w:hint="default"/>
      </w:rPr>
    </w:lvl>
    <w:lvl w:ilvl="6" w:tplc="04090001" w:tentative="1">
      <w:start w:val="1"/>
      <w:numFmt w:val="bullet"/>
      <w:lvlText w:val=""/>
      <w:lvlJc w:val="left"/>
      <w:pPr>
        <w:ind w:left="5091" w:hanging="360"/>
      </w:pPr>
      <w:rPr>
        <w:rFonts w:ascii="Symbol" w:hAnsi="Symbol" w:hint="default"/>
      </w:rPr>
    </w:lvl>
    <w:lvl w:ilvl="7" w:tplc="04090003" w:tentative="1">
      <w:start w:val="1"/>
      <w:numFmt w:val="bullet"/>
      <w:lvlText w:val="o"/>
      <w:lvlJc w:val="left"/>
      <w:pPr>
        <w:ind w:left="5811" w:hanging="360"/>
      </w:pPr>
      <w:rPr>
        <w:rFonts w:ascii="Courier New" w:hAnsi="Courier New" w:cs="Courier New" w:hint="default"/>
      </w:rPr>
    </w:lvl>
    <w:lvl w:ilvl="8" w:tplc="04090005" w:tentative="1">
      <w:start w:val="1"/>
      <w:numFmt w:val="bullet"/>
      <w:lvlText w:val=""/>
      <w:lvlJc w:val="left"/>
      <w:pPr>
        <w:ind w:left="6531" w:hanging="360"/>
      </w:pPr>
      <w:rPr>
        <w:rFonts w:ascii="Wingdings" w:hAnsi="Wingdings" w:hint="default"/>
      </w:rPr>
    </w:lvl>
  </w:abstractNum>
  <w:abstractNum w:abstractNumId="15" w15:restartNumberingAfterBreak="0">
    <w:nsid w:val="74610646"/>
    <w:multiLevelType w:val="hybridMultilevel"/>
    <w:tmpl w:val="AFD0537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7F437118"/>
    <w:multiLevelType w:val="hybridMultilevel"/>
    <w:tmpl w:val="F91C67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4"/>
  </w:num>
  <w:num w:numId="2">
    <w:abstractNumId w:val="6"/>
  </w:num>
  <w:num w:numId="3">
    <w:abstractNumId w:val="3"/>
  </w:num>
  <w:num w:numId="4">
    <w:abstractNumId w:val="0"/>
  </w:num>
  <w:num w:numId="5">
    <w:abstractNumId w:val="7"/>
  </w:num>
  <w:num w:numId="6">
    <w:abstractNumId w:val="16"/>
  </w:num>
  <w:num w:numId="7">
    <w:abstractNumId w:val="13"/>
  </w:num>
  <w:num w:numId="8">
    <w:abstractNumId w:val="8"/>
  </w:num>
  <w:num w:numId="9">
    <w:abstractNumId w:val="12"/>
  </w:num>
  <w:num w:numId="10">
    <w:abstractNumId w:val="5"/>
  </w:num>
  <w:num w:numId="11">
    <w:abstractNumId w:val="10"/>
  </w:num>
  <w:num w:numId="12">
    <w:abstractNumId w:val="11"/>
  </w:num>
  <w:num w:numId="13">
    <w:abstractNumId w:val="2"/>
  </w:num>
  <w:num w:numId="14">
    <w:abstractNumId w:val="1"/>
  </w:num>
  <w:num w:numId="15">
    <w:abstractNumId w:val="15"/>
  </w:num>
  <w:num w:numId="16">
    <w:abstractNumId w:val="9"/>
  </w:num>
  <w:num w:numId="1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0"/>
  <w:activeWritingStyle w:appName="MSWord" w:lang="en-US" w:vendorID="64" w:dllVersion="4096" w:nlCheck="1" w:checkStyle="0"/>
  <w:activeWritingStyle w:appName="MSWord" w:lang="en-US" w:vendorID="64" w:dllVersion="0" w:nlCheck="1" w:checkStyle="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F1106"/>
    <w:rsid w:val="00017F80"/>
    <w:rsid w:val="00030998"/>
    <w:rsid w:val="00033DDF"/>
    <w:rsid w:val="00034633"/>
    <w:rsid w:val="00035A76"/>
    <w:rsid w:val="00035B84"/>
    <w:rsid w:val="000440FA"/>
    <w:rsid w:val="0005343B"/>
    <w:rsid w:val="0007049D"/>
    <w:rsid w:val="000746DB"/>
    <w:rsid w:val="00081D2B"/>
    <w:rsid w:val="000835A7"/>
    <w:rsid w:val="00095D98"/>
    <w:rsid w:val="000B29F2"/>
    <w:rsid w:val="000D4C7B"/>
    <w:rsid w:val="000E2894"/>
    <w:rsid w:val="000F1106"/>
    <w:rsid w:val="000F73EA"/>
    <w:rsid w:val="00121A86"/>
    <w:rsid w:val="0012486E"/>
    <w:rsid w:val="00132BB0"/>
    <w:rsid w:val="0013489F"/>
    <w:rsid w:val="00135780"/>
    <w:rsid w:val="00142F27"/>
    <w:rsid w:val="0014643D"/>
    <w:rsid w:val="001519E5"/>
    <w:rsid w:val="001520F0"/>
    <w:rsid w:val="00157B5A"/>
    <w:rsid w:val="00160DBC"/>
    <w:rsid w:val="00162DA7"/>
    <w:rsid w:val="001660F8"/>
    <w:rsid w:val="00191B44"/>
    <w:rsid w:val="001A0678"/>
    <w:rsid w:val="001E62AC"/>
    <w:rsid w:val="001F6D9E"/>
    <w:rsid w:val="0020765A"/>
    <w:rsid w:val="00207EAE"/>
    <w:rsid w:val="00276020"/>
    <w:rsid w:val="002806F2"/>
    <w:rsid w:val="00281BE9"/>
    <w:rsid w:val="002B2882"/>
    <w:rsid w:val="002C0747"/>
    <w:rsid w:val="002E6849"/>
    <w:rsid w:val="002F7C8E"/>
    <w:rsid w:val="00315CEE"/>
    <w:rsid w:val="0033438F"/>
    <w:rsid w:val="00344289"/>
    <w:rsid w:val="003705E7"/>
    <w:rsid w:val="00383375"/>
    <w:rsid w:val="003956CB"/>
    <w:rsid w:val="003B76AE"/>
    <w:rsid w:val="003C21D2"/>
    <w:rsid w:val="003D7180"/>
    <w:rsid w:val="003E6A25"/>
    <w:rsid w:val="003F4292"/>
    <w:rsid w:val="00406B12"/>
    <w:rsid w:val="0041549F"/>
    <w:rsid w:val="00450119"/>
    <w:rsid w:val="00453023"/>
    <w:rsid w:val="0045402E"/>
    <w:rsid w:val="004600EB"/>
    <w:rsid w:val="00466EA6"/>
    <w:rsid w:val="00470514"/>
    <w:rsid w:val="00471164"/>
    <w:rsid w:val="0049784E"/>
    <w:rsid w:val="004E6129"/>
    <w:rsid w:val="004F4BCF"/>
    <w:rsid w:val="00512772"/>
    <w:rsid w:val="00512B16"/>
    <w:rsid w:val="005154FA"/>
    <w:rsid w:val="005170F4"/>
    <w:rsid w:val="0052729C"/>
    <w:rsid w:val="005446A2"/>
    <w:rsid w:val="0056066D"/>
    <w:rsid w:val="00570EC8"/>
    <w:rsid w:val="005877D6"/>
    <w:rsid w:val="005923A1"/>
    <w:rsid w:val="005A3018"/>
    <w:rsid w:val="005A392E"/>
    <w:rsid w:val="005D011E"/>
    <w:rsid w:val="005F34AF"/>
    <w:rsid w:val="00604D13"/>
    <w:rsid w:val="00622C9D"/>
    <w:rsid w:val="00641B16"/>
    <w:rsid w:val="00650AEE"/>
    <w:rsid w:val="00651BDA"/>
    <w:rsid w:val="006528A8"/>
    <w:rsid w:val="00654395"/>
    <w:rsid w:val="00667666"/>
    <w:rsid w:val="006779DE"/>
    <w:rsid w:val="0069641D"/>
    <w:rsid w:val="006A3E41"/>
    <w:rsid w:val="006A5CD8"/>
    <w:rsid w:val="006B0538"/>
    <w:rsid w:val="006B287C"/>
    <w:rsid w:val="006C3FE1"/>
    <w:rsid w:val="006E0E39"/>
    <w:rsid w:val="006E6CEA"/>
    <w:rsid w:val="006E6FC3"/>
    <w:rsid w:val="007059F5"/>
    <w:rsid w:val="00717BA1"/>
    <w:rsid w:val="00751BF2"/>
    <w:rsid w:val="007555F1"/>
    <w:rsid w:val="007653B1"/>
    <w:rsid w:val="007847E1"/>
    <w:rsid w:val="00796439"/>
    <w:rsid w:val="007A5C08"/>
    <w:rsid w:val="007B369D"/>
    <w:rsid w:val="007B467D"/>
    <w:rsid w:val="007C5717"/>
    <w:rsid w:val="007C5BB0"/>
    <w:rsid w:val="007D5E00"/>
    <w:rsid w:val="007F1708"/>
    <w:rsid w:val="007F339D"/>
    <w:rsid w:val="00802D9F"/>
    <w:rsid w:val="008049D9"/>
    <w:rsid w:val="00816865"/>
    <w:rsid w:val="00820A98"/>
    <w:rsid w:val="00822C9C"/>
    <w:rsid w:val="008448E9"/>
    <w:rsid w:val="00850F50"/>
    <w:rsid w:val="00873D42"/>
    <w:rsid w:val="00881FEF"/>
    <w:rsid w:val="0088409C"/>
    <w:rsid w:val="008874A1"/>
    <w:rsid w:val="00894A1D"/>
    <w:rsid w:val="008A37F0"/>
    <w:rsid w:val="008B3F18"/>
    <w:rsid w:val="008C6A71"/>
    <w:rsid w:val="008D7B2C"/>
    <w:rsid w:val="008E6931"/>
    <w:rsid w:val="008F34C2"/>
    <w:rsid w:val="008F5F81"/>
    <w:rsid w:val="009012DD"/>
    <w:rsid w:val="00916192"/>
    <w:rsid w:val="00920426"/>
    <w:rsid w:val="00921714"/>
    <w:rsid w:val="009238D5"/>
    <w:rsid w:val="009315E3"/>
    <w:rsid w:val="00941DE4"/>
    <w:rsid w:val="00944BED"/>
    <w:rsid w:val="00947DAA"/>
    <w:rsid w:val="009505E7"/>
    <w:rsid w:val="009506D5"/>
    <w:rsid w:val="009618BC"/>
    <w:rsid w:val="00965D3E"/>
    <w:rsid w:val="0096608E"/>
    <w:rsid w:val="00980556"/>
    <w:rsid w:val="00983E5C"/>
    <w:rsid w:val="0098495F"/>
    <w:rsid w:val="009A5634"/>
    <w:rsid w:val="009B437F"/>
    <w:rsid w:val="009D22DD"/>
    <w:rsid w:val="009E517C"/>
    <w:rsid w:val="009F4A71"/>
    <w:rsid w:val="00A0440A"/>
    <w:rsid w:val="00A1350F"/>
    <w:rsid w:val="00A328F1"/>
    <w:rsid w:val="00A34B5F"/>
    <w:rsid w:val="00A354A4"/>
    <w:rsid w:val="00A374FE"/>
    <w:rsid w:val="00A37638"/>
    <w:rsid w:val="00A510EC"/>
    <w:rsid w:val="00A64482"/>
    <w:rsid w:val="00A67E97"/>
    <w:rsid w:val="00A90F62"/>
    <w:rsid w:val="00AB6561"/>
    <w:rsid w:val="00AC370D"/>
    <w:rsid w:val="00AF3653"/>
    <w:rsid w:val="00AF3A90"/>
    <w:rsid w:val="00B042B2"/>
    <w:rsid w:val="00B04412"/>
    <w:rsid w:val="00B0473C"/>
    <w:rsid w:val="00B06583"/>
    <w:rsid w:val="00B22E64"/>
    <w:rsid w:val="00B327BD"/>
    <w:rsid w:val="00B35EBF"/>
    <w:rsid w:val="00B637A3"/>
    <w:rsid w:val="00B71F2C"/>
    <w:rsid w:val="00B764FB"/>
    <w:rsid w:val="00B91E18"/>
    <w:rsid w:val="00B92A08"/>
    <w:rsid w:val="00B9523F"/>
    <w:rsid w:val="00BA49FB"/>
    <w:rsid w:val="00BA6802"/>
    <w:rsid w:val="00BE52A8"/>
    <w:rsid w:val="00BF2522"/>
    <w:rsid w:val="00BF3B2B"/>
    <w:rsid w:val="00C0563D"/>
    <w:rsid w:val="00C068F0"/>
    <w:rsid w:val="00C24E62"/>
    <w:rsid w:val="00C262C6"/>
    <w:rsid w:val="00C354C1"/>
    <w:rsid w:val="00C8000E"/>
    <w:rsid w:val="00CA2BFD"/>
    <w:rsid w:val="00CA4BB2"/>
    <w:rsid w:val="00CA76C9"/>
    <w:rsid w:val="00CD0D97"/>
    <w:rsid w:val="00CD5AA7"/>
    <w:rsid w:val="00CD7BE0"/>
    <w:rsid w:val="00CE4B0C"/>
    <w:rsid w:val="00CE6710"/>
    <w:rsid w:val="00CE73E9"/>
    <w:rsid w:val="00D078C3"/>
    <w:rsid w:val="00D17660"/>
    <w:rsid w:val="00D2703C"/>
    <w:rsid w:val="00D37A4C"/>
    <w:rsid w:val="00D73131"/>
    <w:rsid w:val="00D84AAD"/>
    <w:rsid w:val="00DB6412"/>
    <w:rsid w:val="00DD5CCE"/>
    <w:rsid w:val="00DD6927"/>
    <w:rsid w:val="00DE6C00"/>
    <w:rsid w:val="00DE79AC"/>
    <w:rsid w:val="00DF4CFA"/>
    <w:rsid w:val="00E0142C"/>
    <w:rsid w:val="00E02200"/>
    <w:rsid w:val="00E149A7"/>
    <w:rsid w:val="00E15F88"/>
    <w:rsid w:val="00E17BB8"/>
    <w:rsid w:val="00E54213"/>
    <w:rsid w:val="00E564E7"/>
    <w:rsid w:val="00E62A3E"/>
    <w:rsid w:val="00E9250B"/>
    <w:rsid w:val="00E94C09"/>
    <w:rsid w:val="00E95A35"/>
    <w:rsid w:val="00EC1D4B"/>
    <w:rsid w:val="00EC6141"/>
    <w:rsid w:val="00ED7F69"/>
    <w:rsid w:val="00EE1ABB"/>
    <w:rsid w:val="00EE33A0"/>
    <w:rsid w:val="00EF20E9"/>
    <w:rsid w:val="00F02FA8"/>
    <w:rsid w:val="00F06504"/>
    <w:rsid w:val="00F06C54"/>
    <w:rsid w:val="00F122A0"/>
    <w:rsid w:val="00F1634C"/>
    <w:rsid w:val="00F16ED7"/>
    <w:rsid w:val="00F262DA"/>
    <w:rsid w:val="00F36466"/>
    <w:rsid w:val="00F376B6"/>
    <w:rsid w:val="00F4288B"/>
    <w:rsid w:val="00F4739C"/>
    <w:rsid w:val="00F56341"/>
    <w:rsid w:val="00F700E9"/>
    <w:rsid w:val="00F73E7D"/>
    <w:rsid w:val="00F74DF9"/>
    <w:rsid w:val="00F85E92"/>
    <w:rsid w:val="00FB3D54"/>
    <w:rsid w:val="00FC188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9ABE795"/>
  <w15:chartTrackingRefBased/>
  <w15:docId w15:val="{3547810F-1EF0-402A-9E31-9432DE3B2C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37638"/>
    <w:rPr>
      <w:rFonts w:ascii="Quicksand" w:eastAsia="Quicksand" w:hAnsi="Quicksand" w:cs="Quicksand"/>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F1106"/>
    <w:pPr>
      <w:tabs>
        <w:tab w:val="center" w:pos="4680"/>
        <w:tab w:val="right" w:pos="9360"/>
      </w:tabs>
    </w:pPr>
    <w:rPr>
      <w:rFonts w:asciiTheme="minorHAnsi" w:eastAsiaTheme="minorHAnsi" w:hAnsiTheme="minorHAnsi" w:cstheme="minorBidi"/>
      <w:sz w:val="22"/>
      <w:szCs w:val="22"/>
    </w:rPr>
  </w:style>
  <w:style w:type="character" w:customStyle="1" w:styleId="HeaderChar">
    <w:name w:val="Header Char"/>
    <w:basedOn w:val="DefaultParagraphFont"/>
    <w:link w:val="Header"/>
    <w:uiPriority w:val="99"/>
    <w:rsid w:val="000F1106"/>
  </w:style>
  <w:style w:type="paragraph" w:styleId="Footer">
    <w:name w:val="footer"/>
    <w:basedOn w:val="Normal"/>
    <w:link w:val="FooterChar"/>
    <w:uiPriority w:val="99"/>
    <w:unhideWhenUsed/>
    <w:rsid w:val="000F1106"/>
    <w:pPr>
      <w:tabs>
        <w:tab w:val="center" w:pos="4680"/>
        <w:tab w:val="right" w:pos="9360"/>
      </w:tabs>
    </w:pPr>
    <w:rPr>
      <w:rFonts w:asciiTheme="minorHAnsi" w:eastAsiaTheme="minorHAnsi" w:hAnsiTheme="minorHAnsi" w:cstheme="minorBidi"/>
      <w:sz w:val="22"/>
      <w:szCs w:val="22"/>
    </w:rPr>
  </w:style>
  <w:style w:type="character" w:customStyle="1" w:styleId="FooterChar">
    <w:name w:val="Footer Char"/>
    <w:basedOn w:val="DefaultParagraphFont"/>
    <w:link w:val="Footer"/>
    <w:uiPriority w:val="99"/>
    <w:rsid w:val="000F1106"/>
  </w:style>
  <w:style w:type="paragraph" w:styleId="ListParagraph">
    <w:name w:val="List Paragraph"/>
    <w:basedOn w:val="Normal"/>
    <w:uiPriority w:val="34"/>
    <w:qFormat/>
    <w:rsid w:val="005F34AF"/>
    <w:pPr>
      <w:ind w:left="720"/>
      <w:contextualSpacing/>
    </w:pPr>
  </w:style>
  <w:style w:type="paragraph" w:styleId="Title">
    <w:name w:val="Title"/>
    <w:basedOn w:val="Normal"/>
    <w:next w:val="Normal"/>
    <w:link w:val="TitleChar"/>
    <w:uiPriority w:val="10"/>
    <w:qFormat/>
    <w:rsid w:val="00B35EBF"/>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35EBF"/>
    <w:rPr>
      <w:rFonts w:asciiTheme="majorHAnsi" w:eastAsiaTheme="majorEastAsia" w:hAnsiTheme="majorHAnsi" w:cstheme="majorBidi"/>
      <w:spacing w:val="-10"/>
      <w:kern w:val="28"/>
      <w:sz w:val="56"/>
      <w:szCs w:val="56"/>
    </w:rPr>
  </w:style>
  <w:style w:type="character" w:styleId="Hyperlink">
    <w:name w:val="Hyperlink"/>
    <w:basedOn w:val="DefaultParagraphFont"/>
    <w:uiPriority w:val="99"/>
    <w:unhideWhenUsed/>
    <w:rsid w:val="00512772"/>
    <w:rPr>
      <w:color w:val="0563C1" w:themeColor="hyperlink"/>
      <w:u w:val="single"/>
    </w:rPr>
  </w:style>
  <w:style w:type="character" w:styleId="UnresolvedMention">
    <w:name w:val="Unresolved Mention"/>
    <w:basedOn w:val="DefaultParagraphFont"/>
    <w:uiPriority w:val="99"/>
    <w:semiHidden/>
    <w:unhideWhenUsed/>
    <w:rsid w:val="00512772"/>
    <w:rPr>
      <w:color w:val="605E5C"/>
      <w:shd w:val="clear" w:color="auto" w:fill="E1DFDD"/>
    </w:rPr>
  </w:style>
  <w:style w:type="paragraph" w:styleId="Revision">
    <w:name w:val="Revision"/>
    <w:hidden/>
    <w:uiPriority w:val="99"/>
    <w:semiHidden/>
    <w:rsid w:val="007A5C08"/>
    <w:rPr>
      <w:rFonts w:ascii="Quicksand" w:eastAsia="Quicksand" w:hAnsi="Quicksand" w:cs="Quicksand"/>
      <w:sz w:val="24"/>
      <w:szCs w:val="24"/>
    </w:rPr>
  </w:style>
  <w:style w:type="table" w:styleId="TableGrid">
    <w:name w:val="Table Grid"/>
    <w:basedOn w:val="TableNormal"/>
    <w:uiPriority w:val="39"/>
    <w:rsid w:val="0045011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19254898">
      <w:bodyDiv w:val="1"/>
      <w:marLeft w:val="0"/>
      <w:marRight w:val="0"/>
      <w:marTop w:val="0"/>
      <w:marBottom w:val="0"/>
      <w:divBdr>
        <w:top w:val="none" w:sz="0" w:space="0" w:color="auto"/>
        <w:left w:val="none" w:sz="0" w:space="0" w:color="auto"/>
        <w:bottom w:val="none" w:sz="0" w:space="0" w:color="auto"/>
        <w:right w:val="none" w:sz="0" w:space="0" w:color="auto"/>
      </w:divBdr>
    </w:div>
    <w:div w:id="6002604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1.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6D115A-B0FF-084C-B4AA-D8E67962D0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2</Pages>
  <Words>594</Words>
  <Characters>3387</Characters>
  <Application>Microsoft Office Word</Application>
  <DocSecurity>0</DocSecurity>
  <Lines>28</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Petra Platzer</dc:creator>
  <cp:keywords/>
  <dc:description/>
  <cp:lastModifiedBy>Joy Goldman</cp:lastModifiedBy>
  <cp:revision>5</cp:revision>
  <cp:lastPrinted>2021-04-01T14:23:00Z</cp:lastPrinted>
  <dcterms:created xsi:type="dcterms:W3CDTF">2021-06-08T12:52:00Z</dcterms:created>
  <dcterms:modified xsi:type="dcterms:W3CDTF">2021-06-30T16:29:00Z</dcterms:modified>
</cp:coreProperties>
</file>